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5640" w14:textId="77777777" w:rsidR="00CD2A66" w:rsidRPr="00CD2A66" w:rsidRDefault="00CD2A66" w:rsidP="00CD2A66">
      <w:pPr>
        <w:spacing w:after="0" w:line="240" w:lineRule="auto"/>
        <w:textAlignment w:val="baseline"/>
        <w:outlineLvl w:val="0"/>
        <w:rPr>
          <w:rFonts w:ascii="Arial" w:eastAsia="Times New Roman" w:hAnsi="Arial" w:cs="Arial"/>
          <w:b/>
          <w:bCs/>
          <w:kern w:val="36"/>
          <w:sz w:val="56"/>
          <w:szCs w:val="56"/>
        </w:rPr>
      </w:pPr>
      <w:r w:rsidRPr="00CD2A66">
        <w:rPr>
          <w:rFonts w:ascii="Arial" w:eastAsia="Times New Roman" w:hAnsi="Arial" w:cs="Arial"/>
          <w:b/>
          <w:bCs/>
          <w:kern w:val="36"/>
          <w:sz w:val="56"/>
          <w:szCs w:val="56"/>
        </w:rPr>
        <w:t>Food Storage for One Year</w:t>
      </w:r>
    </w:p>
    <w:p w14:paraId="234ABC34" w14:textId="77777777" w:rsidR="00CD2A66" w:rsidRPr="00CD2A66" w:rsidRDefault="00CD2A66" w:rsidP="00CD2A66">
      <w:pPr>
        <w:shd w:val="clear" w:color="auto" w:fill="FFFFFF"/>
        <w:spacing w:after="213" w:line="240" w:lineRule="auto"/>
        <w:textAlignment w:val="baseline"/>
        <w:rPr>
          <w:rFonts w:ascii="inherit" w:eastAsia="Times New Roman" w:hAnsi="inherit"/>
          <w:color w:val="000000"/>
          <w:sz w:val="27"/>
          <w:szCs w:val="27"/>
        </w:rPr>
      </w:pPr>
      <w:r w:rsidRPr="00CD2A66">
        <w:rPr>
          <w:rFonts w:ascii="inherit" w:eastAsia="Times New Roman" w:hAnsi="inherit"/>
          <w:color w:val="000000"/>
          <w:sz w:val="27"/>
          <w:szCs w:val="27"/>
        </w:rPr>
        <w:t>The First Presidency recommends that Church members “begin their home storage by storing the basic foods that would be required to keep them alive if they did not have anything else to eat.” After they have a year’s supply of the basics, they may then add other foods they are accustomed to eating regularly. (See First Presidency letter, Jan. 20, 2002.)</w:t>
      </w:r>
    </w:p>
    <w:p w14:paraId="0522E08D" w14:textId="77777777" w:rsidR="00CD2A66" w:rsidRPr="00CD2A66" w:rsidRDefault="00CD2A66" w:rsidP="00CD2A66">
      <w:pPr>
        <w:shd w:val="clear" w:color="auto" w:fill="FFFFFF"/>
        <w:spacing w:after="0" w:line="240" w:lineRule="auto"/>
        <w:textAlignment w:val="baseline"/>
        <w:rPr>
          <w:rFonts w:ascii="Arial" w:eastAsia="Times New Roman" w:hAnsi="Arial" w:cs="Arial"/>
          <w:b/>
          <w:bCs/>
          <w:color w:val="53575B"/>
          <w:sz w:val="30"/>
          <w:szCs w:val="30"/>
        </w:rPr>
      </w:pPr>
      <w:r w:rsidRPr="00CD2A66">
        <w:rPr>
          <w:rFonts w:ascii="Arial" w:eastAsia="Times New Roman" w:hAnsi="Arial" w:cs="Arial"/>
          <w:b/>
          <w:bCs/>
          <w:color w:val="53575B"/>
          <w:sz w:val="30"/>
          <w:szCs w:val="30"/>
        </w:rPr>
        <w:t>One Adult Portion</w:t>
      </w:r>
    </w:p>
    <w:p w14:paraId="260D238B" w14:textId="77777777" w:rsidR="00CD2A66" w:rsidRPr="00CD2A66" w:rsidRDefault="00CD2A66" w:rsidP="00CD2A66">
      <w:pPr>
        <w:shd w:val="clear" w:color="auto" w:fill="FFFFFF"/>
        <w:spacing w:after="0" w:line="240" w:lineRule="auto"/>
        <w:textAlignment w:val="baseline"/>
        <w:rPr>
          <w:rFonts w:ascii="Arial" w:eastAsia="Times New Roman" w:hAnsi="Arial" w:cs="Arial"/>
          <w:color w:val="000000"/>
          <w:sz w:val="21"/>
          <w:szCs w:val="21"/>
        </w:rPr>
      </w:pPr>
      <w:r w:rsidRPr="00CD2A66">
        <w:rPr>
          <w:rFonts w:ascii="Arial" w:eastAsia="Times New Roman" w:hAnsi="Arial" w:cs="Arial"/>
          <w:b/>
          <w:bCs/>
          <w:color w:val="000000"/>
          <w:sz w:val="21"/>
          <w:szCs w:val="21"/>
          <w:bdr w:val="none" w:sz="0" w:space="0" w:color="auto" w:frame="1"/>
        </w:rPr>
        <w:t>Grains</w:t>
      </w:r>
      <w:r w:rsidRPr="00CD2A66">
        <w:rPr>
          <w:rFonts w:ascii="Arial" w:eastAsia="Times New Roman" w:hAnsi="Arial" w:cs="Arial"/>
          <w:color w:val="000000"/>
          <w:sz w:val="21"/>
          <w:szCs w:val="21"/>
        </w:rPr>
        <w:t>—400 pounds (181 kg); includes wheat, flour, rice, corn, oatmeal, and pasta</w:t>
      </w:r>
    </w:p>
    <w:p w14:paraId="61194650" w14:textId="77777777" w:rsidR="00CD2A66" w:rsidRPr="00CD2A66" w:rsidRDefault="00CD2A66" w:rsidP="00CD2A66">
      <w:pPr>
        <w:shd w:val="clear" w:color="auto" w:fill="FFFFFF"/>
        <w:spacing w:after="0" w:line="240" w:lineRule="auto"/>
        <w:textAlignment w:val="baseline"/>
        <w:rPr>
          <w:rFonts w:ascii="Arial" w:eastAsia="Times New Roman" w:hAnsi="Arial" w:cs="Arial"/>
          <w:color w:val="000000"/>
          <w:sz w:val="21"/>
          <w:szCs w:val="21"/>
        </w:rPr>
      </w:pPr>
      <w:r w:rsidRPr="00CD2A66">
        <w:rPr>
          <w:rFonts w:ascii="Arial" w:eastAsia="Times New Roman" w:hAnsi="Arial" w:cs="Arial"/>
          <w:b/>
          <w:bCs/>
          <w:color w:val="000000"/>
          <w:sz w:val="21"/>
          <w:szCs w:val="21"/>
          <w:bdr w:val="none" w:sz="0" w:space="0" w:color="auto" w:frame="1"/>
        </w:rPr>
        <w:t>Legumes</w:t>
      </w:r>
      <w:r w:rsidRPr="00CD2A66">
        <w:rPr>
          <w:rFonts w:ascii="Arial" w:eastAsia="Times New Roman" w:hAnsi="Arial" w:cs="Arial"/>
          <w:color w:val="000000"/>
          <w:sz w:val="21"/>
          <w:szCs w:val="21"/>
        </w:rPr>
        <w:t>—60 pounds (27 kg); includes dry beans, split peas, lentils, etc.</w:t>
      </w:r>
    </w:p>
    <w:p w14:paraId="21AB5B75" w14:textId="77777777" w:rsidR="00CD2A66" w:rsidRPr="00CD2A66" w:rsidRDefault="00CD2A66" w:rsidP="00CD2A66">
      <w:pPr>
        <w:shd w:val="clear" w:color="auto" w:fill="FFFFFF"/>
        <w:spacing w:after="0" w:line="240" w:lineRule="auto"/>
        <w:textAlignment w:val="baseline"/>
        <w:rPr>
          <w:rFonts w:ascii="Arial" w:eastAsia="Times New Roman" w:hAnsi="Arial" w:cs="Arial"/>
          <w:color w:val="000000"/>
          <w:sz w:val="21"/>
          <w:szCs w:val="21"/>
        </w:rPr>
      </w:pPr>
      <w:r w:rsidRPr="00CD2A66">
        <w:rPr>
          <w:rFonts w:ascii="Arial" w:eastAsia="Times New Roman" w:hAnsi="Arial" w:cs="Arial"/>
          <w:b/>
          <w:bCs/>
          <w:color w:val="000000"/>
          <w:sz w:val="21"/>
          <w:szCs w:val="21"/>
          <w:bdr w:val="none" w:sz="0" w:space="0" w:color="auto" w:frame="1"/>
        </w:rPr>
        <w:t>Powdered Milk</w:t>
      </w:r>
      <w:r w:rsidRPr="00CD2A66">
        <w:rPr>
          <w:rFonts w:ascii="Arial" w:eastAsia="Times New Roman" w:hAnsi="Arial" w:cs="Arial"/>
          <w:color w:val="000000"/>
          <w:sz w:val="21"/>
          <w:szCs w:val="21"/>
        </w:rPr>
        <w:t>—16 pounds (7 kg)</w:t>
      </w:r>
    </w:p>
    <w:p w14:paraId="45E05CAA" w14:textId="77777777" w:rsidR="00CD2A66" w:rsidRPr="00CD2A66" w:rsidRDefault="00CD2A66" w:rsidP="00CD2A66">
      <w:pPr>
        <w:shd w:val="clear" w:color="auto" w:fill="FFFFFF"/>
        <w:spacing w:after="0" w:line="240" w:lineRule="auto"/>
        <w:textAlignment w:val="baseline"/>
        <w:rPr>
          <w:rFonts w:ascii="Arial" w:eastAsia="Times New Roman" w:hAnsi="Arial" w:cs="Arial"/>
          <w:color w:val="000000"/>
          <w:sz w:val="21"/>
          <w:szCs w:val="21"/>
        </w:rPr>
      </w:pPr>
      <w:r w:rsidRPr="00CD2A66">
        <w:rPr>
          <w:rFonts w:ascii="Arial" w:eastAsia="Times New Roman" w:hAnsi="Arial" w:cs="Arial"/>
          <w:b/>
          <w:bCs/>
          <w:color w:val="000000"/>
          <w:sz w:val="21"/>
          <w:szCs w:val="21"/>
          <w:bdr w:val="none" w:sz="0" w:space="0" w:color="auto" w:frame="1"/>
        </w:rPr>
        <w:t>Cooking Oil</w:t>
      </w:r>
      <w:r w:rsidRPr="00CD2A66">
        <w:rPr>
          <w:rFonts w:ascii="Arial" w:eastAsia="Times New Roman" w:hAnsi="Arial" w:cs="Arial"/>
          <w:color w:val="000000"/>
          <w:sz w:val="21"/>
          <w:szCs w:val="21"/>
        </w:rPr>
        <w:t>—10 quarts (9 l)</w:t>
      </w:r>
    </w:p>
    <w:p w14:paraId="4B4FB256" w14:textId="77777777" w:rsidR="00CD2A66" w:rsidRPr="00CD2A66" w:rsidRDefault="00CD2A66" w:rsidP="00CD2A66">
      <w:pPr>
        <w:shd w:val="clear" w:color="auto" w:fill="FFFFFF"/>
        <w:spacing w:after="0" w:line="240" w:lineRule="auto"/>
        <w:textAlignment w:val="baseline"/>
        <w:rPr>
          <w:rFonts w:ascii="Arial" w:eastAsia="Times New Roman" w:hAnsi="Arial" w:cs="Arial"/>
          <w:color w:val="000000"/>
          <w:sz w:val="21"/>
          <w:szCs w:val="21"/>
        </w:rPr>
      </w:pPr>
      <w:r w:rsidRPr="00CD2A66">
        <w:rPr>
          <w:rFonts w:ascii="Arial" w:eastAsia="Times New Roman" w:hAnsi="Arial" w:cs="Arial"/>
          <w:b/>
          <w:bCs/>
          <w:color w:val="000000"/>
          <w:sz w:val="21"/>
          <w:szCs w:val="21"/>
          <w:bdr w:val="none" w:sz="0" w:space="0" w:color="auto" w:frame="1"/>
        </w:rPr>
        <w:t>Sugar or Honey</w:t>
      </w:r>
      <w:r w:rsidRPr="00CD2A66">
        <w:rPr>
          <w:rFonts w:ascii="Arial" w:eastAsia="Times New Roman" w:hAnsi="Arial" w:cs="Arial"/>
          <w:color w:val="000000"/>
          <w:sz w:val="21"/>
          <w:szCs w:val="21"/>
        </w:rPr>
        <w:t>—60 pounds (27 kg)</w:t>
      </w:r>
    </w:p>
    <w:p w14:paraId="4B795925" w14:textId="77777777" w:rsidR="00CD2A66" w:rsidRPr="00CD2A66" w:rsidRDefault="00CD2A66" w:rsidP="00CD2A66">
      <w:pPr>
        <w:shd w:val="clear" w:color="auto" w:fill="FFFFFF"/>
        <w:spacing w:after="0" w:line="240" w:lineRule="auto"/>
        <w:textAlignment w:val="baseline"/>
        <w:rPr>
          <w:rFonts w:ascii="Arial" w:eastAsia="Times New Roman" w:hAnsi="Arial" w:cs="Arial"/>
          <w:color w:val="000000"/>
          <w:sz w:val="21"/>
          <w:szCs w:val="21"/>
        </w:rPr>
      </w:pPr>
      <w:r w:rsidRPr="00CD2A66">
        <w:rPr>
          <w:rFonts w:ascii="Arial" w:eastAsia="Times New Roman" w:hAnsi="Arial" w:cs="Arial"/>
          <w:b/>
          <w:bCs/>
          <w:color w:val="000000"/>
          <w:sz w:val="21"/>
          <w:szCs w:val="21"/>
          <w:bdr w:val="none" w:sz="0" w:space="0" w:color="auto" w:frame="1"/>
        </w:rPr>
        <w:t>Salt</w:t>
      </w:r>
      <w:r w:rsidRPr="00CD2A66">
        <w:rPr>
          <w:rFonts w:ascii="Arial" w:eastAsia="Times New Roman" w:hAnsi="Arial" w:cs="Arial"/>
          <w:color w:val="000000"/>
          <w:sz w:val="21"/>
          <w:szCs w:val="21"/>
        </w:rPr>
        <w:t>—8 pounds (3.6 kg)</w:t>
      </w:r>
    </w:p>
    <w:p w14:paraId="095DBA5C" w14:textId="77777777" w:rsidR="00CD2A66" w:rsidRPr="00CD2A66" w:rsidRDefault="00CD2A66" w:rsidP="00CD2A66">
      <w:pPr>
        <w:shd w:val="clear" w:color="auto" w:fill="FFFFFF"/>
        <w:spacing w:after="0" w:line="240" w:lineRule="auto"/>
        <w:textAlignment w:val="baseline"/>
        <w:rPr>
          <w:rFonts w:ascii="Arial" w:eastAsia="Times New Roman" w:hAnsi="Arial" w:cs="Arial"/>
          <w:color w:val="000000"/>
          <w:sz w:val="21"/>
          <w:szCs w:val="21"/>
        </w:rPr>
      </w:pPr>
      <w:r w:rsidRPr="00CD2A66">
        <w:rPr>
          <w:rFonts w:ascii="Arial" w:eastAsia="Times New Roman" w:hAnsi="Arial" w:cs="Arial"/>
          <w:b/>
          <w:bCs/>
          <w:color w:val="000000"/>
          <w:sz w:val="21"/>
          <w:szCs w:val="21"/>
          <w:bdr w:val="none" w:sz="0" w:space="0" w:color="auto" w:frame="1"/>
        </w:rPr>
        <w:t>Water</w:t>
      </w:r>
      <w:r w:rsidRPr="00CD2A66">
        <w:rPr>
          <w:rFonts w:ascii="Arial" w:eastAsia="Times New Roman" w:hAnsi="Arial" w:cs="Arial"/>
          <w:color w:val="000000"/>
          <w:sz w:val="21"/>
          <w:szCs w:val="21"/>
        </w:rPr>
        <w:t> (2 weeks</w:t>
      </w:r>
      <w:hyperlink r:id="rId4" w:anchor="aside1_note_asterisk" w:history="1">
        <w:r w:rsidRPr="00CD2A66">
          <w:rPr>
            <w:rFonts w:ascii="Arial" w:eastAsia="Times New Roman" w:hAnsi="Arial" w:cs="Arial"/>
            <w:color w:val="0000FF"/>
            <w:sz w:val="21"/>
            <w:szCs w:val="21"/>
            <w:u w:val="single"/>
            <w:bdr w:val="none" w:sz="0" w:space="0" w:color="auto" w:frame="1"/>
          </w:rPr>
          <w:t>*</w:t>
        </w:r>
      </w:hyperlink>
      <w:r w:rsidRPr="00CD2A66">
        <w:rPr>
          <w:rFonts w:ascii="Arial" w:eastAsia="Times New Roman" w:hAnsi="Arial" w:cs="Arial"/>
          <w:color w:val="000000"/>
          <w:sz w:val="21"/>
          <w:szCs w:val="21"/>
        </w:rPr>
        <w:t>)—14 gallons (53 l)</w:t>
      </w:r>
    </w:p>
    <w:p w14:paraId="6BC30DB2" w14:textId="77777777" w:rsidR="00CD2A66" w:rsidRPr="00CD2A66" w:rsidRDefault="00CD2A66" w:rsidP="00CD2A66">
      <w:pPr>
        <w:shd w:val="clear" w:color="auto" w:fill="FFFFFF"/>
        <w:spacing w:after="0" w:line="240" w:lineRule="auto"/>
        <w:textAlignment w:val="baseline"/>
        <w:rPr>
          <w:rFonts w:ascii="Arial" w:eastAsia="Times New Roman" w:hAnsi="Arial" w:cs="Arial"/>
          <w:b/>
          <w:bCs/>
          <w:color w:val="53575B"/>
          <w:sz w:val="27"/>
          <w:szCs w:val="27"/>
        </w:rPr>
      </w:pPr>
      <w:r w:rsidRPr="00CD2A66">
        <w:rPr>
          <w:rFonts w:ascii="Arial" w:eastAsia="Times New Roman" w:hAnsi="Arial" w:cs="Arial"/>
          <w:b/>
          <w:bCs/>
          <w:color w:val="53575B"/>
          <w:sz w:val="27"/>
          <w:szCs w:val="27"/>
        </w:rPr>
        <w:t>Child Portions</w:t>
      </w:r>
    </w:p>
    <w:tbl>
      <w:tblPr>
        <w:tblW w:w="6690" w:type="dxa"/>
        <w:tblCellMar>
          <w:left w:w="0" w:type="dxa"/>
          <w:right w:w="0" w:type="dxa"/>
        </w:tblCellMar>
        <w:tblLook w:val="04A0" w:firstRow="1" w:lastRow="0" w:firstColumn="1" w:lastColumn="0" w:noHBand="0" w:noVBand="1"/>
      </w:tblPr>
      <w:tblGrid>
        <w:gridCol w:w="2201"/>
        <w:gridCol w:w="4489"/>
      </w:tblGrid>
      <w:tr w:rsidR="00CD2A66" w:rsidRPr="00CD2A66" w14:paraId="2F72F297" w14:textId="77777777" w:rsidTr="00CD2A66">
        <w:trPr>
          <w:tblHeader/>
        </w:trPr>
        <w:tc>
          <w:tcPr>
            <w:tcW w:w="0" w:type="auto"/>
            <w:tcBorders>
              <w:top w:val="nil"/>
              <w:left w:val="nil"/>
              <w:bottom w:val="single" w:sz="18" w:space="0" w:color="C5C9CA"/>
              <w:right w:val="single" w:sz="6" w:space="0" w:color="C5C9CA"/>
            </w:tcBorders>
            <w:tcMar>
              <w:top w:w="213" w:type="dxa"/>
              <w:left w:w="213" w:type="dxa"/>
              <w:bottom w:w="53" w:type="dxa"/>
              <w:right w:w="213" w:type="dxa"/>
            </w:tcMar>
            <w:vAlign w:val="bottom"/>
            <w:hideMark/>
          </w:tcPr>
          <w:p w14:paraId="34F1614C" w14:textId="77777777" w:rsidR="00CD2A66" w:rsidRPr="00CD2A66" w:rsidRDefault="00CD2A66" w:rsidP="00CD2A66">
            <w:pPr>
              <w:spacing w:after="0" w:line="240" w:lineRule="auto"/>
              <w:textAlignment w:val="baseline"/>
              <w:rPr>
                <w:rFonts w:ascii="Arial" w:eastAsia="Times New Roman" w:hAnsi="Arial" w:cs="Arial"/>
                <w:b/>
                <w:bCs/>
                <w:color w:val="53575B"/>
                <w:sz w:val="19"/>
                <w:szCs w:val="19"/>
              </w:rPr>
            </w:pPr>
            <w:r w:rsidRPr="00CD2A66">
              <w:rPr>
                <w:rFonts w:ascii="Arial" w:eastAsia="Times New Roman" w:hAnsi="Arial" w:cs="Arial"/>
                <w:b/>
                <w:bCs/>
                <w:color w:val="53575B"/>
                <w:sz w:val="19"/>
                <w:szCs w:val="19"/>
                <w:bdr w:val="none" w:sz="0" w:space="0" w:color="auto" w:frame="1"/>
              </w:rPr>
              <w:t>Age</w:t>
            </w:r>
          </w:p>
        </w:tc>
        <w:tc>
          <w:tcPr>
            <w:tcW w:w="0" w:type="auto"/>
            <w:tcBorders>
              <w:top w:val="nil"/>
              <w:left w:val="single" w:sz="6" w:space="0" w:color="C5C9CA"/>
              <w:bottom w:val="single" w:sz="18" w:space="0" w:color="C5C9CA"/>
              <w:right w:val="nil"/>
            </w:tcBorders>
            <w:tcMar>
              <w:top w:w="213" w:type="dxa"/>
              <w:left w:w="213" w:type="dxa"/>
              <w:bottom w:w="53" w:type="dxa"/>
              <w:right w:w="213" w:type="dxa"/>
            </w:tcMar>
            <w:vAlign w:val="bottom"/>
            <w:hideMark/>
          </w:tcPr>
          <w:p w14:paraId="2B2E6F5C" w14:textId="77777777" w:rsidR="00CD2A66" w:rsidRPr="00CD2A66" w:rsidRDefault="00CD2A66" w:rsidP="00CD2A66">
            <w:pPr>
              <w:spacing w:after="0" w:line="240" w:lineRule="auto"/>
              <w:textAlignment w:val="baseline"/>
              <w:rPr>
                <w:rFonts w:ascii="Arial" w:eastAsia="Times New Roman" w:hAnsi="Arial" w:cs="Arial"/>
                <w:b/>
                <w:bCs/>
                <w:color w:val="53575B"/>
                <w:sz w:val="19"/>
                <w:szCs w:val="19"/>
              </w:rPr>
            </w:pPr>
            <w:r w:rsidRPr="00CD2A66">
              <w:rPr>
                <w:rFonts w:ascii="Arial" w:eastAsia="Times New Roman" w:hAnsi="Arial" w:cs="Arial"/>
                <w:b/>
                <w:bCs/>
                <w:color w:val="53575B"/>
                <w:sz w:val="19"/>
                <w:szCs w:val="19"/>
                <w:bdr w:val="none" w:sz="0" w:space="0" w:color="auto" w:frame="1"/>
              </w:rPr>
              <w:t>Percentage of Adult Portion</w:t>
            </w:r>
          </w:p>
        </w:tc>
      </w:tr>
      <w:tr w:rsidR="00CD2A66" w:rsidRPr="00CD2A66" w14:paraId="0F6E08FA" w14:textId="77777777" w:rsidTr="00CD2A66">
        <w:tc>
          <w:tcPr>
            <w:tcW w:w="0" w:type="auto"/>
            <w:tcBorders>
              <w:top w:val="nil"/>
              <w:left w:val="nil"/>
              <w:bottom w:val="single" w:sz="6" w:space="0" w:color="C5C9CA"/>
              <w:right w:val="single" w:sz="6" w:space="0" w:color="C5C9CA"/>
            </w:tcBorders>
            <w:tcMar>
              <w:top w:w="213" w:type="dxa"/>
              <w:left w:w="213" w:type="dxa"/>
              <w:bottom w:w="107" w:type="dxa"/>
              <w:right w:w="213" w:type="dxa"/>
            </w:tcMar>
            <w:vAlign w:val="bottom"/>
            <w:hideMark/>
          </w:tcPr>
          <w:p w14:paraId="67D16059" w14:textId="77777777" w:rsidR="00CD2A66" w:rsidRPr="00CD2A66" w:rsidRDefault="00CD2A66" w:rsidP="00CD2A66">
            <w:pPr>
              <w:spacing w:after="213" w:line="240" w:lineRule="auto"/>
              <w:textAlignment w:val="baseline"/>
              <w:rPr>
                <w:rFonts w:ascii="Arial" w:eastAsia="Times New Roman" w:hAnsi="Arial" w:cs="Arial"/>
                <w:color w:val="53575B"/>
                <w:sz w:val="19"/>
                <w:szCs w:val="19"/>
              </w:rPr>
            </w:pPr>
            <w:r w:rsidRPr="00CD2A66">
              <w:rPr>
                <w:rFonts w:ascii="Arial" w:eastAsia="Times New Roman" w:hAnsi="Arial" w:cs="Arial"/>
                <w:color w:val="53575B"/>
                <w:sz w:val="19"/>
                <w:szCs w:val="19"/>
              </w:rPr>
              <w:t>3 and under</w:t>
            </w:r>
          </w:p>
        </w:tc>
        <w:tc>
          <w:tcPr>
            <w:tcW w:w="0" w:type="auto"/>
            <w:tcBorders>
              <w:top w:val="nil"/>
              <w:left w:val="single" w:sz="6" w:space="0" w:color="C5C9CA"/>
              <w:bottom w:val="single" w:sz="6" w:space="0" w:color="C5C9CA"/>
              <w:right w:val="nil"/>
            </w:tcBorders>
            <w:tcMar>
              <w:top w:w="213" w:type="dxa"/>
              <w:left w:w="213" w:type="dxa"/>
              <w:bottom w:w="107" w:type="dxa"/>
              <w:right w:w="213" w:type="dxa"/>
            </w:tcMar>
            <w:vAlign w:val="bottom"/>
            <w:hideMark/>
          </w:tcPr>
          <w:p w14:paraId="666A19D6" w14:textId="77777777" w:rsidR="00CD2A66" w:rsidRPr="00CD2A66" w:rsidRDefault="00CD2A66" w:rsidP="00CD2A66">
            <w:pPr>
              <w:spacing w:after="213" w:line="240" w:lineRule="auto"/>
              <w:textAlignment w:val="baseline"/>
              <w:rPr>
                <w:rFonts w:ascii="Arial" w:eastAsia="Times New Roman" w:hAnsi="Arial" w:cs="Arial"/>
                <w:color w:val="53575B"/>
                <w:sz w:val="19"/>
                <w:szCs w:val="19"/>
              </w:rPr>
            </w:pPr>
            <w:r w:rsidRPr="00CD2A66">
              <w:rPr>
                <w:rFonts w:ascii="Arial" w:eastAsia="Times New Roman" w:hAnsi="Arial" w:cs="Arial"/>
                <w:color w:val="53575B"/>
                <w:sz w:val="19"/>
                <w:szCs w:val="19"/>
              </w:rPr>
              <w:t>50%</w:t>
            </w:r>
          </w:p>
        </w:tc>
      </w:tr>
      <w:tr w:rsidR="00CD2A66" w:rsidRPr="00CD2A66" w14:paraId="7BF9BD38" w14:textId="77777777" w:rsidTr="00CD2A66">
        <w:tc>
          <w:tcPr>
            <w:tcW w:w="0" w:type="auto"/>
            <w:tcBorders>
              <w:top w:val="single" w:sz="6" w:space="0" w:color="C5C9CA"/>
              <w:left w:val="nil"/>
              <w:bottom w:val="single" w:sz="6" w:space="0" w:color="C5C9CA"/>
              <w:right w:val="single" w:sz="6" w:space="0" w:color="C5C9CA"/>
            </w:tcBorders>
            <w:tcMar>
              <w:top w:w="213" w:type="dxa"/>
              <w:left w:w="213" w:type="dxa"/>
              <w:bottom w:w="107" w:type="dxa"/>
              <w:right w:w="213" w:type="dxa"/>
            </w:tcMar>
            <w:vAlign w:val="bottom"/>
            <w:hideMark/>
          </w:tcPr>
          <w:p w14:paraId="0B5B1752" w14:textId="77777777" w:rsidR="00CD2A66" w:rsidRPr="00CD2A66" w:rsidRDefault="00CD2A66" w:rsidP="00CD2A66">
            <w:pPr>
              <w:spacing w:after="213" w:line="240" w:lineRule="auto"/>
              <w:textAlignment w:val="baseline"/>
              <w:rPr>
                <w:rFonts w:ascii="Arial" w:eastAsia="Times New Roman" w:hAnsi="Arial" w:cs="Arial"/>
                <w:color w:val="53575B"/>
                <w:sz w:val="19"/>
                <w:szCs w:val="19"/>
              </w:rPr>
            </w:pPr>
            <w:r w:rsidRPr="00CD2A66">
              <w:rPr>
                <w:rFonts w:ascii="Arial" w:eastAsia="Times New Roman" w:hAnsi="Arial" w:cs="Arial"/>
                <w:color w:val="53575B"/>
                <w:sz w:val="19"/>
                <w:szCs w:val="19"/>
              </w:rPr>
              <w:t>4 to 6</w:t>
            </w:r>
          </w:p>
        </w:tc>
        <w:tc>
          <w:tcPr>
            <w:tcW w:w="0" w:type="auto"/>
            <w:tcBorders>
              <w:top w:val="single" w:sz="6" w:space="0" w:color="C5C9CA"/>
              <w:left w:val="single" w:sz="6" w:space="0" w:color="C5C9CA"/>
              <w:bottom w:val="single" w:sz="6" w:space="0" w:color="C5C9CA"/>
              <w:right w:val="nil"/>
            </w:tcBorders>
            <w:tcMar>
              <w:top w:w="213" w:type="dxa"/>
              <w:left w:w="213" w:type="dxa"/>
              <w:bottom w:w="107" w:type="dxa"/>
              <w:right w:w="213" w:type="dxa"/>
            </w:tcMar>
            <w:vAlign w:val="bottom"/>
            <w:hideMark/>
          </w:tcPr>
          <w:p w14:paraId="409A569E" w14:textId="77777777" w:rsidR="00CD2A66" w:rsidRPr="00CD2A66" w:rsidRDefault="00CD2A66" w:rsidP="00CD2A66">
            <w:pPr>
              <w:spacing w:after="213" w:line="240" w:lineRule="auto"/>
              <w:textAlignment w:val="baseline"/>
              <w:rPr>
                <w:rFonts w:ascii="Arial" w:eastAsia="Times New Roman" w:hAnsi="Arial" w:cs="Arial"/>
                <w:color w:val="53575B"/>
                <w:sz w:val="19"/>
                <w:szCs w:val="19"/>
              </w:rPr>
            </w:pPr>
            <w:r w:rsidRPr="00CD2A66">
              <w:rPr>
                <w:rFonts w:ascii="Arial" w:eastAsia="Times New Roman" w:hAnsi="Arial" w:cs="Arial"/>
                <w:color w:val="53575B"/>
                <w:sz w:val="19"/>
                <w:szCs w:val="19"/>
              </w:rPr>
              <w:t>70%</w:t>
            </w:r>
          </w:p>
        </w:tc>
      </w:tr>
      <w:tr w:rsidR="00CD2A66" w:rsidRPr="00CD2A66" w14:paraId="708A17F7" w14:textId="77777777" w:rsidTr="00CD2A66">
        <w:tc>
          <w:tcPr>
            <w:tcW w:w="0" w:type="auto"/>
            <w:tcBorders>
              <w:top w:val="single" w:sz="6" w:space="0" w:color="C5C9CA"/>
              <w:left w:val="nil"/>
              <w:bottom w:val="single" w:sz="6" w:space="0" w:color="C5C9CA"/>
              <w:right w:val="single" w:sz="6" w:space="0" w:color="C5C9CA"/>
            </w:tcBorders>
            <w:tcMar>
              <w:top w:w="213" w:type="dxa"/>
              <w:left w:w="213" w:type="dxa"/>
              <w:bottom w:w="107" w:type="dxa"/>
              <w:right w:w="213" w:type="dxa"/>
            </w:tcMar>
            <w:vAlign w:val="bottom"/>
            <w:hideMark/>
          </w:tcPr>
          <w:p w14:paraId="36DCF4AC" w14:textId="77777777" w:rsidR="00CD2A66" w:rsidRPr="00CD2A66" w:rsidRDefault="00CD2A66" w:rsidP="00CD2A66">
            <w:pPr>
              <w:spacing w:after="213" w:line="240" w:lineRule="auto"/>
              <w:textAlignment w:val="baseline"/>
              <w:rPr>
                <w:rFonts w:ascii="Arial" w:eastAsia="Times New Roman" w:hAnsi="Arial" w:cs="Arial"/>
                <w:color w:val="53575B"/>
                <w:sz w:val="19"/>
                <w:szCs w:val="19"/>
              </w:rPr>
            </w:pPr>
            <w:r w:rsidRPr="00CD2A66">
              <w:rPr>
                <w:rFonts w:ascii="Arial" w:eastAsia="Times New Roman" w:hAnsi="Arial" w:cs="Arial"/>
                <w:color w:val="53575B"/>
                <w:sz w:val="19"/>
                <w:szCs w:val="19"/>
              </w:rPr>
              <w:t>7 to 10</w:t>
            </w:r>
          </w:p>
        </w:tc>
        <w:tc>
          <w:tcPr>
            <w:tcW w:w="0" w:type="auto"/>
            <w:tcBorders>
              <w:top w:val="single" w:sz="6" w:space="0" w:color="C5C9CA"/>
              <w:left w:val="single" w:sz="6" w:space="0" w:color="C5C9CA"/>
              <w:bottom w:val="single" w:sz="6" w:space="0" w:color="C5C9CA"/>
              <w:right w:val="nil"/>
            </w:tcBorders>
            <w:tcMar>
              <w:top w:w="213" w:type="dxa"/>
              <w:left w:w="213" w:type="dxa"/>
              <w:bottom w:w="107" w:type="dxa"/>
              <w:right w:w="213" w:type="dxa"/>
            </w:tcMar>
            <w:vAlign w:val="bottom"/>
            <w:hideMark/>
          </w:tcPr>
          <w:p w14:paraId="55A3308B" w14:textId="77777777" w:rsidR="00CD2A66" w:rsidRPr="00CD2A66" w:rsidRDefault="00CD2A66" w:rsidP="00CD2A66">
            <w:pPr>
              <w:spacing w:after="213" w:line="240" w:lineRule="auto"/>
              <w:textAlignment w:val="baseline"/>
              <w:rPr>
                <w:rFonts w:ascii="Arial" w:eastAsia="Times New Roman" w:hAnsi="Arial" w:cs="Arial"/>
                <w:color w:val="53575B"/>
                <w:sz w:val="19"/>
                <w:szCs w:val="19"/>
              </w:rPr>
            </w:pPr>
            <w:r w:rsidRPr="00CD2A66">
              <w:rPr>
                <w:rFonts w:ascii="Arial" w:eastAsia="Times New Roman" w:hAnsi="Arial" w:cs="Arial"/>
                <w:color w:val="53575B"/>
                <w:sz w:val="19"/>
                <w:szCs w:val="19"/>
              </w:rPr>
              <w:t>90%</w:t>
            </w:r>
          </w:p>
        </w:tc>
      </w:tr>
      <w:tr w:rsidR="00CD2A66" w:rsidRPr="00CD2A66" w14:paraId="612141FD" w14:textId="77777777" w:rsidTr="00CD2A66">
        <w:tc>
          <w:tcPr>
            <w:tcW w:w="0" w:type="auto"/>
            <w:tcBorders>
              <w:top w:val="single" w:sz="6" w:space="0" w:color="C5C9CA"/>
              <w:left w:val="nil"/>
              <w:bottom w:val="single" w:sz="6" w:space="0" w:color="C5C9CA"/>
              <w:right w:val="single" w:sz="6" w:space="0" w:color="C5C9CA"/>
            </w:tcBorders>
            <w:tcMar>
              <w:top w:w="213" w:type="dxa"/>
              <w:left w:w="213" w:type="dxa"/>
              <w:bottom w:w="107" w:type="dxa"/>
              <w:right w:w="213" w:type="dxa"/>
            </w:tcMar>
            <w:vAlign w:val="bottom"/>
            <w:hideMark/>
          </w:tcPr>
          <w:p w14:paraId="7CC645E7" w14:textId="77777777" w:rsidR="00CD2A66" w:rsidRPr="00CD2A66" w:rsidRDefault="00CD2A66" w:rsidP="00CD2A66">
            <w:pPr>
              <w:spacing w:after="213" w:line="240" w:lineRule="auto"/>
              <w:textAlignment w:val="baseline"/>
              <w:rPr>
                <w:rFonts w:ascii="Arial" w:eastAsia="Times New Roman" w:hAnsi="Arial" w:cs="Arial"/>
                <w:color w:val="53575B"/>
                <w:sz w:val="19"/>
                <w:szCs w:val="19"/>
              </w:rPr>
            </w:pPr>
            <w:r w:rsidRPr="00CD2A66">
              <w:rPr>
                <w:rFonts w:ascii="Arial" w:eastAsia="Times New Roman" w:hAnsi="Arial" w:cs="Arial"/>
                <w:color w:val="53575B"/>
                <w:sz w:val="19"/>
                <w:szCs w:val="19"/>
              </w:rPr>
              <w:t>11 and up</w:t>
            </w:r>
          </w:p>
        </w:tc>
        <w:tc>
          <w:tcPr>
            <w:tcW w:w="0" w:type="auto"/>
            <w:tcBorders>
              <w:top w:val="single" w:sz="6" w:space="0" w:color="C5C9CA"/>
              <w:left w:val="single" w:sz="6" w:space="0" w:color="C5C9CA"/>
              <w:bottom w:val="single" w:sz="6" w:space="0" w:color="C5C9CA"/>
              <w:right w:val="nil"/>
            </w:tcBorders>
            <w:tcMar>
              <w:top w:w="213" w:type="dxa"/>
              <w:left w:w="213" w:type="dxa"/>
              <w:bottom w:w="107" w:type="dxa"/>
              <w:right w:w="213" w:type="dxa"/>
            </w:tcMar>
            <w:vAlign w:val="bottom"/>
            <w:hideMark/>
          </w:tcPr>
          <w:p w14:paraId="5D74B3C4" w14:textId="77777777" w:rsidR="00CD2A66" w:rsidRPr="00CD2A66" w:rsidRDefault="00CD2A66" w:rsidP="00CD2A66">
            <w:pPr>
              <w:spacing w:after="213" w:line="240" w:lineRule="auto"/>
              <w:textAlignment w:val="baseline"/>
              <w:rPr>
                <w:rFonts w:ascii="Arial" w:eastAsia="Times New Roman" w:hAnsi="Arial" w:cs="Arial"/>
                <w:color w:val="53575B"/>
                <w:sz w:val="19"/>
                <w:szCs w:val="19"/>
              </w:rPr>
            </w:pPr>
            <w:r w:rsidRPr="00CD2A66">
              <w:rPr>
                <w:rFonts w:ascii="Arial" w:eastAsia="Times New Roman" w:hAnsi="Arial" w:cs="Arial"/>
                <w:color w:val="53575B"/>
                <w:sz w:val="19"/>
                <w:szCs w:val="19"/>
              </w:rPr>
              <w:t>100%</w:t>
            </w:r>
          </w:p>
        </w:tc>
      </w:tr>
    </w:tbl>
    <w:p w14:paraId="53ED744E" w14:textId="77777777" w:rsidR="00CD2A66" w:rsidRPr="00CD2A66" w:rsidRDefault="00CD2A66" w:rsidP="00CD2A66">
      <w:pPr>
        <w:shd w:val="clear" w:color="auto" w:fill="FFFFFF"/>
        <w:spacing w:after="213" w:line="240" w:lineRule="auto"/>
        <w:textAlignment w:val="baseline"/>
        <w:rPr>
          <w:rFonts w:ascii="inherit" w:eastAsia="Times New Roman" w:hAnsi="inherit"/>
          <w:color w:val="000000"/>
          <w:sz w:val="27"/>
          <w:szCs w:val="27"/>
        </w:rPr>
      </w:pPr>
      <w:r w:rsidRPr="00CD2A66">
        <w:rPr>
          <w:rFonts w:ascii="inherit" w:eastAsia="Times New Roman" w:hAnsi="inherit"/>
          <w:color w:val="000000"/>
          <w:sz w:val="27"/>
          <w:szCs w:val="27"/>
        </w:rPr>
        <w:t>Above are suggested portion guidelines for adults and children for one year, unless otherwise indicated.</w:t>
      </w:r>
    </w:p>
    <w:p w14:paraId="5793B5AB" w14:textId="77777777" w:rsidR="00CD2A66" w:rsidRPr="00CD2A66" w:rsidRDefault="00CD2A66" w:rsidP="00CD2A66">
      <w:pPr>
        <w:shd w:val="clear" w:color="auto" w:fill="FFFFFF"/>
        <w:spacing w:after="213" w:line="240" w:lineRule="auto"/>
        <w:textAlignment w:val="baseline"/>
        <w:rPr>
          <w:rFonts w:ascii="inherit" w:eastAsia="Times New Roman" w:hAnsi="inherit"/>
          <w:color w:val="000000"/>
          <w:sz w:val="27"/>
          <w:szCs w:val="27"/>
        </w:rPr>
      </w:pPr>
      <w:r w:rsidRPr="00CD2A66">
        <w:rPr>
          <w:rFonts w:ascii="inherit" w:eastAsia="Times New Roman" w:hAnsi="inherit"/>
          <w:color w:val="000000"/>
          <w:sz w:val="27"/>
          <w:szCs w:val="27"/>
        </w:rPr>
        <w:t>Because children are still growing, it is helpful to add one year to a child’s current age when calculating adequate food-storage amounts. Assess your family’s food-storage needs yearly, keeping in mind that nursing infants share in their mother’s portion. Also, young children, as well as pregnant and nursing mothers, need more milk than other family members.</w:t>
      </w:r>
    </w:p>
    <w:p w14:paraId="58AD3916" w14:textId="77777777" w:rsidR="00CD2A66" w:rsidRPr="00CD2A66" w:rsidRDefault="00CD2A66" w:rsidP="00CD2A66">
      <w:pPr>
        <w:shd w:val="clear" w:color="auto" w:fill="FFFFFF"/>
        <w:spacing w:after="0" w:line="240" w:lineRule="auto"/>
        <w:textAlignment w:val="baseline"/>
        <w:rPr>
          <w:rFonts w:ascii="inherit" w:eastAsia="Times New Roman" w:hAnsi="inherit"/>
          <w:color w:val="000000"/>
          <w:sz w:val="27"/>
          <w:szCs w:val="27"/>
        </w:rPr>
      </w:pPr>
      <w:r w:rsidRPr="00CD2A66">
        <w:rPr>
          <w:rFonts w:ascii="inherit" w:eastAsia="Times New Roman" w:hAnsi="inherit"/>
          <w:color w:val="000000"/>
          <w:sz w:val="27"/>
          <w:szCs w:val="27"/>
        </w:rPr>
        <w:t>Additional information, including a food calculation plan, is available at </w:t>
      </w:r>
      <w:hyperlink r:id="rId5" w:history="1">
        <w:r w:rsidRPr="00CD2A66">
          <w:rPr>
            <w:rFonts w:ascii="inherit" w:eastAsia="Times New Roman" w:hAnsi="inherit"/>
            <w:color w:val="0000FF"/>
            <w:sz w:val="27"/>
            <w:szCs w:val="27"/>
            <w:u w:val="single"/>
            <w:bdr w:val="none" w:sz="0" w:space="0" w:color="auto" w:frame="1"/>
          </w:rPr>
          <w:t>www.providentliving.org</w:t>
        </w:r>
      </w:hyperlink>
      <w:r w:rsidRPr="00CD2A66">
        <w:rPr>
          <w:rFonts w:ascii="inherit" w:eastAsia="Times New Roman" w:hAnsi="inherit"/>
          <w:color w:val="000000"/>
          <w:sz w:val="27"/>
          <w:szCs w:val="27"/>
        </w:rPr>
        <w:t>.</w:t>
      </w:r>
    </w:p>
    <w:p w14:paraId="0873E447" w14:textId="77777777" w:rsidR="00CD2A66" w:rsidRPr="00CD2A66" w:rsidRDefault="00CD2A66" w:rsidP="00CD2A66">
      <w:pPr>
        <w:shd w:val="clear" w:color="auto" w:fill="FFFFFF"/>
        <w:spacing w:after="0" w:line="240" w:lineRule="auto"/>
        <w:textAlignment w:val="baseline"/>
        <w:rPr>
          <w:rFonts w:ascii="Arial" w:eastAsia="Times New Roman" w:hAnsi="Arial" w:cs="Arial"/>
          <w:color w:val="53575B"/>
          <w:sz w:val="21"/>
          <w:szCs w:val="21"/>
        </w:rPr>
      </w:pPr>
      <w:r w:rsidRPr="00CD2A66">
        <w:rPr>
          <w:rFonts w:ascii="Arial" w:eastAsia="Times New Roman" w:hAnsi="Arial" w:cs="Arial"/>
          <w:color w:val="53575B"/>
          <w:sz w:val="21"/>
          <w:szCs w:val="21"/>
        </w:rPr>
        <w:t>Illustrated by Joe Flores</w:t>
      </w:r>
    </w:p>
    <w:p w14:paraId="7A3CC3D5" w14:textId="77777777" w:rsidR="00975A2F" w:rsidRDefault="00CD2A66"/>
    <w:sectPr w:rsidR="00975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66"/>
    <w:rsid w:val="003A23C9"/>
    <w:rsid w:val="006E7562"/>
    <w:rsid w:val="00957D60"/>
    <w:rsid w:val="00CD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3537"/>
  <w15:chartTrackingRefBased/>
  <w15:docId w15:val="{64F52BA4-E824-450E-8DDF-9382B766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2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A66"/>
    <w:rPr>
      <w:rFonts w:eastAsia="Times New Roman"/>
      <w:b/>
      <w:bCs/>
      <w:kern w:val="36"/>
      <w:sz w:val="48"/>
      <w:szCs w:val="48"/>
    </w:rPr>
  </w:style>
  <w:style w:type="character" w:styleId="Hyperlink">
    <w:name w:val="Hyperlink"/>
    <w:basedOn w:val="DefaultParagraphFont"/>
    <w:uiPriority w:val="99"/>
    <w:semiHidden/>
    <w:unhideWhenUsed/>
    <w:rsid w:val="00CD2A66"/>
    <w:rPr>
      <w:color w:val="0000FF"/>
      <w:u w:val="single"/>
    </w:rPr>
  </w:style>
  <w:style w:type="paragraph" w:styleId="NormalWeb">
    <w:name w:val="Normal (Web)"/>
    <w:basedOn w:val="Normal"/>
    <w:uiPriority w:val="99"/>
    <w:semiHidden/>
    <w:unhideWhenUsed/>
    <w:rsid w:val="00CD2A66"/>
    <w:pPr>
      <w:spacing w:before="100" w:beforeAutospacing="1" w:after="100" w:afterAutospacing="1" w:line="240" w:lineRule="auto"/>
    </w:pPr>
    <w:rPr>
      <w:rFonts w:eastAsia="Times New Roman"/>
      <w:sz w:val="24"/>
      <w:szCs w:val="24"/>
    </w:rPr>
  </w:style>
  <w:style w:type="paragraph" w:customStyle="1" w:styleId="title">
    <w:name w:val="title"/>
    <w:basedOn w:val="Normal"/>
    <w:rsid w:val="00CD2A6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D2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videntliving.org/" TargetMode="External"/><Relationship Id="rId4" Type="http://schemas.openxmlformats.org/officeDocument/2006/relationships/hyperlink" Target="https://www.churchofjesuschrist.org/study/ensign/2006/03/random-sampler/food-storage-for-one-year?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Duana Blakey</dc:creator>
  <cp:keywords/>
  <dc:description/>
  <cp:lastModifiedBy>Duana Blakey</cp:lastModifiedBy>
  <cp:revision>1</cp:revision>
  <dcterms:created xsi:type="dcterms:W3CDTF">2022-08-28T22:17:00Z</dcterms:created>
  <dcterms:modified xsi:type="dcterms:W3CDTF">2022-08-28T22:17:00Z</dcterms:modified>
</cp:coreProperties>
</file>